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8AA6" w14:textId="7F3B3C60" w:rsidR="00324F7B" w:rsidRPr="00717FAB" w:rsidRDefault="00324F7B" w:rsidP="00324F7B">
      <w:pPr>
        <w:tabs>
          <w:tab w:val="num" w:pos="870"/>
        </w:tabs>
        <w:spacing w:after="0"/>
        <w:ind w:left="870" w:hanging="444"/>
        <w:jc w:val="center"/>
        <w:textAlignment w:val="baseline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17FAB">
        <w:rPr>
          <w:rStyle w:val="normaltextrun"/>
          <w:rFonts w:cstheme="minorHAnsi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UBYTOVACÍ ŘÁD MY HOTEL APOLLON</w:t>
      </w:r>
    </w:p>
    <w:p w14:paraId="2405E026" w14:textId="65D7F632" w:rsidR="00536597" w:rsidRPr="002B3C32" w:rsidRDefault="00324F7B" w:rsidP="00F55F52">
      <w:pPr>
        <w:pStyle w:val="paragraph"/>
        <w:numPr>
          <w:ilvl w:val="0"/>
          <w:numId w:val="1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Hotel je oprávněn ubytovat pouze řádně přihlášené hosty a zaručuje služby odpovídající kategorii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otelu. 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26B6D393" w14:textId="591761BA" w:rsidR="00536597" w:rsidRPr="002B3C32" w:rsidRDefault="00324F7B" w:rsidP="00F55F52">
      <w:pPr>
        <w:pStyle w:val="paragraph"/>
        <w:numPr>
          <w:ilvl w:val="0"/>
          <w:numId w:val="1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b/>
          <w:bCs/>
          <w:color w:val="231F20"/>
          <w:sz w:val="20"/>
          <w:szCs w:val="20"/>
        </w:rPr>
        <w:t>Hotel je nekuřácký,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včetně všech přilehlých prostor. Místa určená ke kouření jsou vyznačena a nachází se vedle vchodu do </w:t>
      </w:r>
      <w:r w:rsidR="00E8067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otelu. V případě porušení zákazu kouření</w:t>
      </w:r>
      <w:r w:rsidR="00536597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(vč</w:t>
      </w:r>
      <w:r w:rsidR="0019635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.</w:t>
      </w:r>
      <w:r w:rsidR="00536597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kouření </w:t>
      </w:r>
      <w:r w:rsidR="00536597" w:rsidRPr="002B3C32">
        <w:rPr>
          <w:rStyle w:val="normaltextrun"/>
          <w:rFonts w:asciiTheme="minorHAnsi" w:hAnsiTheme="minorHAnsi" w:cstheme="minorHAnsi"/>
          <w:sz w:val="20"/>
          <w:szCs w:val="20"/>
        </w:rPr>
        <w:t>elektronických cigaret</w:t>
      </w:r>
      <w:r w:rsidR="00536597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) 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je </w:t>
      </w:r>
      <w:r w:rsidR="00E8067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otel oprávněn naúčtovat hostovi poplatek za vyčištění pokoje ve </w:t>
      </w:r>
      <w:r w:rsidR="006D3CFF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výši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100,- EUR.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  <w:r w:rsidR="00536597"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 xml:space="preserve"> </w:t>
      </w:r>
    </w:p>
    <w:p w14:paraId="076BED19" w14:textId="77777777" w:rsidR="00196356" w:rsidRPr="002B3C32" w:rsidRDefault="00324F7B" w:rsidP="00196356">
      <w:pPr>
        <w:pStyle w:val="paragraph"/>
        <w:numPr>
          <w:ilvl w:val="0"/>
          <w:numId w:val="1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Za účelem řádného přihlášení předkládá host při příjezdu do </w:t>
      </w:r>
      <w:r w:rsidR="00E8067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otelu příslušnému pracovníkovi </w:t>
      </w:r>
      <w:r w:rsidR="00E8067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otelu platný občanský průkaz nebo cestovní pas. Na jeho základě vydá </w:t>
      </w:r>
      <w:r w:rsidR="00E8067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otel hostovi hotelovou legitimaci s uvedením názvu </w:t>
      </w:r>
      <w:r w:rsidR="00E8067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otelu, jménem hosta, číslem pokoje, délkou pobytu a zámkovou bezkontaktní kartu. Platnou hotelovou legitimací host na požádání pracovníků </w:t>
      </w:r>
      <w:r w:rsidR="00E8067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otelu prokazuje oprávněnost své přítomnosti v </w:t>
      </w:r>
      <w:r w:rsidR="00E8067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otelu během pobytu. 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>Pokud se host neprokáže platným dokladem totožnosti, je Hotel oprávněn ubytování hostu odmítnout s ohledem k zákonu o místních poplatcích pro české občany a k zákonu 314/2015 Sb. pro zahraniční klienty.</w:t>
      </w:r>
      <w:r w:rsidRPr="002B3C32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V případě, že host odmítne předložit osobní doklad, </w:t>
      </w:r>
      <w:r w:rsidR="00E8067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otel mu není povinen poskytnout ubytování. </w:t>
      </w:r>
    </w:p>
    <w:p w14:paraId="5D5928FD" w14:textId="34930678" w:rsidR="00004CB4" w:rsidRPr="002B3C32" w:rsidRDefault="00324F7B" w:rsidP="002B3C32">
      <w:pPr>
        <w:pStyle w:val="paragraph"/>
        <w:spacing w:before="0" w:beforeAutospacing="0" w:after="0" w:afterAutospacing="0"/>
        <w:ind w:left="87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Za ubytování a poskytnuté služby host platí v den příjezdu hotově nebo platební kartou. </w:t>
      </w:r>
    </w:p>
    <w:p w14:paraId="0430D9BD" w14:textId="228B547B" w:rsidR="005F1631" w:rsidRPr="005F1631" w:rsidRDefault="00324F7B" w:rsidP="00812AEF">
      <w:pPr>
        <w:pStyle w:val="paragraph"/>
        <w:numPr>
          <w:ilvl w:val="0"/>
          <w:numId w:val="2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F1631">
        <w:rPr>
          <w:rStyle w:val="normaltextrun"/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Při příjezdu pracovník recepce přebere od hosta </w:t>
      </w:r>
      <w:r w:rsidRPr="005F1631">
        <w:rPr>
          <w:rStyle w:val="normaltextrun"/>
          <w:rFonts w:asciiTheme="minorHAnsi" w:hAnsiTheme="minorHAnsi" w:cstheme="minorHAnsi"/>
          <w:b/>
          <w:bCs/>
          <w:color w:val="231F20"/>
          <w:sz w:val="20"/>
          <w:szCs w:val="20"/>
          <w:u w:val="single"/>
        </w:rPr>
        <w:t>vratnou</w:t>
      </w:r>
      <w:r w:rsidRPr="005F1631">
        <w:rPr>
          <w:rStyle w:val="normaltextrun"/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zálohu ve výši 40,- EUR.</w:t>
      </w:r>
      <w:r w:rsidRPr="005F1631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Záloha slouží pouze jako garance dodržovaní pravidel ubytovacího řadu a úhrady čerpání možných extra služeb. Při řádném </w:t>
      </w:r>
      <w:r w:rsidR="006D3CFF" w:rsidRPr="005F1631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pobytu</w:t>
      </w:r>
      <w:r w:rsidRPr="005F1631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a uhrazení všech hostem čerpaných služeb bude při odjezdu tato záloha hostovi vrácena. </w:t>
      </w:r>
      <w:r w:rsidR="00F32BAC" w:rsidRPr="008F4020">
        <w:rPr>
          <w:b/>
          <w:bCs/>
          <w:sz w:val="20"/>
          <w:szCs w:val="20"/>
        </w:rPr>
        <w:t>Host je povinen si zálohu vyzvednout při odjezdu, nebo nejpozději do 30 dnů od svého odjezdu. Při této příležitosti musí host informovat recepci písemnou formou.</w:t>
      </w:r>
    </w:p>
    <w:p w14:paraId="2F851509" w14:textId="7DE2E324" w:rsidR="003D0E4C" w:rsidRPr="005F1631" w:rsidRDefault="00324F7B" w:rsidP="00812AEF">
      <w:pPr>
        <w:pStyle w:val="paragraph"/>
        <w:numPr>
          <w:ilvl w:val="0"/>
          <w:numId w:val="2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F1631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V případě, že host má rezervaci provedenou a zaplacenou přes třetí stranu (cestovní kancelář, tour operátor, extranet), je host ubytován na základě voucheru nebo potvrzení rezervace. Voucher nebo jiné potvrzení rezervace předloží host při příjezdu do </w:t>
      </w:r>
      <w:r w:rsidR="00E80675" w:rsidRPr="005F1631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5F1631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otelu.</w:t>
      </w:r>
      <w:r w:rsidRPr="005F1631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141B4756" w14:textId="4A303CDD" w:rsidR="003D0E4C" w:rsidRPr="002B3C32" w:rsidRDefault="00324F7B" w:rsidP="00F55F52">
      <w:pPr>
        <w:pStyle w:val="paragraph"/>
        <w:numPr>
          <w:ilvl w:val="0"/>
          <w:numId w:val="2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Hotel si dále vyhrazuje právo na provedení </w:t>
      </w:r>
      <w:proofErr w:type="spellStart"/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předautorizace</w:t>
      </w:r>
      <w:proofErr w:type="spellEnd"/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platební karty hosta před nástupem k pobytu, pokud byla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otelu poskytnuta pro garantování dodržování ubytovacího ř</w:t>
      </w:r>
      <w:r w:rsidR="00336C8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á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du. Ceny jsou účtovány v Kč. Směnný kurz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otelu se může lišit od kurzu poskytovaného bankou hosta. Platí-li host platební kartou, bude platba vždy provedena v Kč. Případné kurzové rozdíly nelze nárokovat.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5BB20D5D" w14:textId="77777777" w:rsidR="003D0E4C" w:rsidRPr="002B3C32" w:rsidRDefault="00324F7B" w:rsidP="00F55F52">
      <w:pPr>
        <w:pStyle w:val="paragraph"/>
        <w:numPr>
          <w:ilvl w:val="0"/>
          <w:numId w:val="2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Má-li host potvrzeno ubytování v určitém typu pokoje, je mu účtována odpovídající cena i v případě, že bude ubytován v jiném typu pokoje a nebudou všechna lůžka obsazena.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7145AF21" w14:textId="77777777" w:rsidR="003D0E4C" w:rsidRPr="002B3C32" w:rsidRDefault="00324F7B" w:rsidP="00F55F52">
      <w:pPr>
        <w:pStyle w:val="paragraph"/>
        <w:numPr>
          <w:ilvl w:val="0"/>
          <w:numId w:val="2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Hotel ubytuje hosty pouze v případě dosáhnutí 18 let, nezletilé osoby jen v doprovodu osoby zletilé (zákonný zástupce).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03CDFF2B" w14:textId="1B423088" w:rsidR="003D0E4C" w:rsidRPr="002B3C32" w:rsidRDefault="00324F7B" w:rsidP="00F55F52">
      <w:pPr>
        <w:pStyle w:val="paragraph"/>
        <w:numPr>
          <w:ilvl w:val="0"/>
          <w:numId w:val="2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V odůvodněných případech, po projednání s hostem, může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 nabídnout hostovi jiné ubytování, než bylo původně sjednáno. Hotel v tomto případě vždy přihlíží k tomu, aby se nová nabídka podstatně nelišila od potvrzené objednávky.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2C1EB489" w14:textId="781D16D9" w:rsidR="003D0E4C" w:rsidRPr="002B3C32" w:rsidRDefault="00324F7B" w:rsidP="00F55F52">
      <w:pPr>
        <w:pStyle w:val="paragraph"/>
        <w:numPr>
          <w:ilvl w:val="0"/>
          <w:numId w:val="2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Pultové ceny ubytování jsou k dispozici v recepci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otelu.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3855470B" w14:textId="2AAB0500" w:rsidR="003D0E4C" w:rsidRPr="002B3C32" w:rsidRDefault="00324F7B" w:rsidP="00F55F52">
      <w:pPr>
        <w:pStyle w:val="paragraph"/>
        <w:numPr>
          <w:ilvl w:val="0"/>
          <w:numId w:val="2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V případě garantované a písemně potvrzené hostem rezervace je pokoj držen celou noc do 6:00 hod. V případě negarantované rezervace je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 oprávněn nabídnout pokoj k prodeji po uplynutí sjednaného času, zpravidla po 17. hod.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24A82752" w14:textId="3EDCD146" w:rsidR="00324F7B" w:rsidRPr="002B3C32" w:rsidRDefault="00324F7B" w:rsidP="00F55F52">
      <w:pPr>
        <w:pStyle w:val="paragraph"/>
        <w:numPr>
          <w:ilvl w:val="0"/>
          <w:numId w:val="2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Stornopodmínky</w:t>
      </w:r>
      <w:proofErr w:type="spellEnd"/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: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61F938E6" w14:textId="0CD1E352" w:rsidR="00324F7B" w:rsidRPr="002B3C32" w:rsidRDefault="00324F7B" w:rsidP="00F55F52">
      <w:pPr>
        <w:pStyle w:val="paragraph"/>
        <w:numPr>
          <w:ilvl w:val="0"/>
          <w:numId w:val="3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U rezervací s možností storna je možné bezplatné zrušení více než 48 hodin před příjezdem. Pokud bude rezervace zrušena méně než 48 hodin před příjezdem, bude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 účtovat poplatek ve výši ceny 1. noci objednaného ubytování.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34FB31FE" w14:textId="5EBE794C" w:rsidR="00324F7B" w:rsidRPr="002B3C32" w:rsidRDefault="00324F7B" w:rsidP="00F55F52">
      <w:pPr>
        <w:pStyle w:val="paragraph"/>
        <w:numPr>
          <w:ilvl w:val="0"/>
          <w:numId w:val="4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U nevratných rezervací (bez možnosti storna) bude celková cena rezervace účtována v den uskutečnění rezervace a je nevratná. V případě storna nebo </w:t>
      </w:r>
      <w:proofErr w:type="spellStart"/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nedojezdu</w:t>
      </w:r>
      <w:proofErr w:type="spellEnd"/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bude účtována cena ubytování v plné výši.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 </w:t>
      </w:r>
    </w:p>
    <w:p w14:paraId="23B9B1F2" w14:textId="1E6C9D7D" w:rsidR="00324F7B" w:rsidRPr="002B3C32" w:rsidRDefault="00324F7B" w:rsidP="00F55F52">
      <w:pPr>
        <w:pStyle w:val="paragraph"/>
        <w:numPr>
          <w:ilvl w:val="0"/>
          <w:numId w:val="5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Host nemůže přijímat návštěvy na pokoji, </w:t>
      </w:r>
      <w:r w:rsidR="00336C8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návštěvy jsou povoleny pouze ve společných prostorech. V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š</w:t>
      </w:r>
      <w:r w:rsidR="00336C8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ichni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host</w:t>
      </w:r>
      <w:r w:rsidR="00336C8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é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musí b</w:t>
      </w:r>
      <w:r w:rsidR="00536597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ý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t zaregistrov</w:t>
      </w:r>
      <w:r w:rsidR="00336C8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á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n</w:t>
      </w:r>
      <w:r w:rsidR="00336C8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i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na recepci tj </w:t>
      </w:r>
      <w:r w:rsidR="00336C8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musí 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poskytnout platný občanský průkaz nebo cestovní pas, adresu trvalého bydliště, kontaktní telefon a zaplatit </w:t>
      </w:r>
      <w:r w:rsidR="00336C8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Místní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poplatek </w:t>
      </w:r>
      <w:r w:rsidR="00336C85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z pobytu 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na recepci Hotelu, pokud nemají trvalé bydliště v Praze. 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25EC4E22" w14:textId="241F1756" w:rsidR="00324F7B" w:rsidRPr="002B3C32" w:rsidRDefault="00324F7B" w:rsidP="00F55F52">
      <w:pPr>
        <w:pStyle w:val="paragraph"/>
        <w:numPr>
          <w:ilvl w:val="0"/>
          <w:numId w:val="6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V den příjezdu je pokoj hostu k dispozici od 14:00 hod. V den odjezdu je host povinen pokoj odevzdat do 12:00 hod. 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Host užívá pokoj po dobu, kterou sjednal s </w:t>
      </w:r>
      <w:r w:rsidR="00C75B76" w:rsidRPr="002B3C32">
        <w:rPr>
          <w:rStyle w:val="normaltextrun"/>
          <w:rFonts w:asciiTheme="minorHAnsi" w:hAnsiTheme="minorHAnsi" w:cstheme="minorHAnsi"/>
          <w:sz w:val="20"/>
          <w:szCs w:val="20"/>
        </w:rPr>
        <w:t>U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bytovatelem. Nebyla-li ubytovací doba předem sjednána, uvolní pokoj nejpozději do 12.00 hod. posledního dne. Neučiní-li tak host ve stanovené lhůtě, je </w:t>
      </w:r>
      <w:r w:rsidR="00C75B76" w:rsidRPr="002B3C32">
        <w:rPr>
          <w:rStyle w:val="normaltextrun"/>
          <w:rFonts w:asciiTheme="minorHAnsi" w:hAnsiTheme="minorHAnsi" w:cstheme="minorHAnsi"/>
          <w:sz w:val="20"/>
          <w:szCs w:val="20"/>
        </w:rPr>
        <w:t>U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bytovatel oprávněn účtovat pobyt i za následující den. V případě, že </w:t>
      </w:r>
      <w:r w:rsidR="00C75B76" w:rsidRPr="002B3C32">
        <w:rPr>
          <w:rStyle w:val="normaltextrun"/>
          <w:rFonts w:asciiTheme="minorHAnsi" w:hAnsiTheme="minorHAnsi" w:cstheme="minorHAnsi"/>
          <w:sz w:val="20"/>
          <w:szCs w:val="20"/>
        </w:rPr>
        <w:t>U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bytovatel má tento pokoj již dříve rezervovaný, a host neuposlechne výzvy, či není v ubytovacím zařízení přítomen, vyhrazuje si </w:t>
      </w:r>
      <w:r w:rsidR="00C75B76" w:rsidRPr="002B3C32">
        <w:rPr>
          <w:rStyle w:val="normaltextrun"/>
          <w:rFonts w:asciiTheme="minorHAnsi" w:hAnsiTheme="minorHAnsi" w:cstheme="minorHAnsi"/>
          <w:sz w:val="20"/>
          <w:szCs w:val="20"/>
        </w:rPr>
        <w:t>U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>bytovatel právo za účasti tříčlenné komise věci hosta sepsat a uložit na bezpečném místě tak, aby pokoj mohl užívat host, který si jej rezervoval.</w:t>
      </w:r>
      <w:r w:rsidRPr="002B3C3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6E57217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Dřívější příjezd nebo pozdější odjezd lze objednat za cenu závislou na čase příjezdu nebo odjezdu.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1EF2FBAA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Hoteloví hosté jsou oprávněni využít bezplatné bezdrátové připojení k internetu prostřednictvím wifi.</w:t>
      </w:r>
      <w:r w:rsidR="00536597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</w:t>
      </w:r>
    </w:p>
    <w:p w14:paraId="2C21FF7F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Děti do 10 let nesmějí být ponechány bez dozoru dospělých osob ani na pokoji, ani v ostatních prostorách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otelu.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6C9913FF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Z bezpečnostních důvodů a na ochranu hostů je v lobby, u vstupu do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otelu a na chodbách nainstalován kamerový systém. Nakládání s těmito záznamy se provádí dle příslušných právních předpisů na ochranu osobnosti.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6D78D755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Po celém objektu je zakázáno nosit nebo uchovávat zbraně a zakázané narkotické látky.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17D4A46F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>Pobyt psů ani jiných zvířat není v zařízení povolen. </w:t>
      </w:r>
      <w:r w:rsidRPr="002B3C3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B30D7D5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Ubytovatel neposkytuje směnárenské služby. Je však možné hradit účty v eurech v aktuálním a předem oznámeném kurzu. Hostu či kupujícímu je </w:t>
      </w:r>
      <w:r w:rsidR="00C75B76" w:rsidRPr="002B3C32">
        <w:rPr>
          <w:rStyle w:val="normaltextrun"/>
          <w:rFonts w:asciiTheme="minorHAnsi" w:hAnsiTheme="minorHAnsi" w:cstheme="minorHAnsi"/>
          <w:sz w:val="20"/>
          <w:szCs w:val="20"/>
        </w:rPr>
        <w:t>U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>bytovatel povinen vystavit účtenku o poskytnutých službách a prodeji zboží.</w:t>
      </w:r>
      <w:r w:rsidRPr="002B3C3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2BA5136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V době od 22:00 hod. do 7:00 hod. jsou </w:t>
      </w:r>
      <w:r w:rsidR="00C75B76" w:rsidRPr="002B3C32">
        <w:rPr>
          <w:rStyle w:val="normaltextrun"/>
          <w:rFonts w:asciiTheme="minorHAnsi" w:hAnsiTheme="minorHAnsi" w:cstheme="minorHAnsi"/>
          <w:b/>
          <w:bCs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b/>
          <w:bCs/>
          <w:color w:val="231F20"/>
          <w:sz w:val="20"/>
          <w:szCs w:val="20"/>
        </w:rPr>
        <w:t>oteloví hosté povinni dodržovat noční klid.</w:t>
      </w:r>
      <w:r w:rsidRPr="002B3C32">
        <w:rPr>
          <w:rStyle w:val="eop"/>
          <w:rFonts w:asciiTheme="minorHAnsi" w:hAnsiTheme="minorHAnsi" w:cstheme="minorHAnsi"/>
          <w:b/>
          <w:bCs/>
          <w:color w:val="231F20"/>
          <w:sz w:val="20"/>
          <w:szCs w:val="20"/>
        </w:rPr>
        <w:t> </w:t>
      </w:r>
    </w:p>
    <w:p w14:paraId="15D684AC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Při onemocnění nebo zranění hosta zajišťuje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 poskytnutí lékařské pomoci, eventuálně převoz do nemocnice. Náklady s tím spojené hradí host.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2E8BB3F8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Případné stížnosti a závady na straně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otelu se řeší Reklamačním řádem. Stížnost je nutné uplatnit ihned, a to písemnou formou.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2DD35C9F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Za šperky, peníze a jiné cennosti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 neodpovídá.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00F09CB5" w14:textId="57142301" w:rsidR="002B3C32" w:rsidRPr="002B3C32" w:rsidRDefault="00196356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F4020">
        <w:rPr>
          <w:rFonts w:asciiTheme="minorHAnsi" w:hAnsiTheme="minorHAnsi" w:cstheme="minorHAnsi"/>
          <w:b/>
          <w:bCs/>
          <w:sz w:val="20"/>
          <w:szCs w:val="20"/>
        </w:rPr>
        <w:t>Všechny zapomenuté věci hotel uchovává po dobu tří měsíců.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Při této příležitosti musí host informovat recepci písemnou formou.</w:t>
      </w:r>
      <w:r w:rsidR="00F82BD9" w:rsidRPr="00F82BD9">
        <w:rPr>
          <w:rStyle w:val="normaltextrun"/>
          <w:rFonts w:asciiTheme="minorHAnsi" w:hAnsiTheme="minorHAnsi" w:cstheme="minorHAnsi"/>
          <w:color w:val="231F20"/>
          <w:sz w:val="20"/>
          <w:szCs w:val="20"/>
          <w:lang w:val="en-AU"/>
        </w:rPr>
        <w:t xml:space="preserve"> </w:t>
      </w:r>
      <w:r w:rsidR="00324F7B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Parkování pro hotelové hosty je zajištěno za poplatek na městském parkovišti. Nejedná se o hlídané parkoviště,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="00324F7B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otel neodpovídá za případné škody či odcizení vozidla nebo věcí ve vozidle.</w:t>
      </w:r>
      <w:r w:rsidR="00324F7B"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3423B1EB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lastRenderedPageBreak/>
        <w:t xml:space="preserve">Host je povinen při odchodu uzavřít v pokoji vodovodní kohoutky, zavřít dveře, zhasnout v pokoji a při odhlášení odevzdat na recepci </w:t>
      </w:r>
      <w:r w:rsidR="00170DC3"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elektronické 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klíče opravňující vstup do pokoje ubytovacího zařízení, či jiných prostor </w:t>
      </w:r>
      <w:r w:rsidR="00C75B76" w:rsidRPr="002B3C32">
        <w:rPr>
          <w:rStyle w:val="normaltextrun"/>
          <w:rFonts w:asciiTheme="minorHAnsi" w:hAnsiTheme="minorHAnsi" w:cstheme="minorHAnsi"/>
          <w:sz w:val="20"/>
          <w:szCs w:val="20"/>
        </w:rPr>
        <w:t>U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>bytovatele.</w:t>
      </w:r>
      <w:r w:rsidRPr="002B3C3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BC0C1D1" w14:textId="1446D3FF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Ubytovatel si z bezpečnostních důvodů vyhrazuje právo odepřít ubytování nebo ubytování okamžitě ukončit, </w:t>
      </w:r>
      <w:r w:rsidR="00170DC3" w:rsidRPr="002B3C32">
        <w:rPr>
          <w:rStyle w:val="normaltextrun"/>
          <w:rFonts w:asciiTheme="minorHAnsi" w:hAnsiTheme="minorHAnsi" w:cstheme="minorHAnsi"/>
          <w:sz w:val="20"/>
          <w:szCs w:val="20"/>
        </w:rPr>
        <w:t>jakož i odepřít obsluhu a případně zakázat pobyt v ubytovacím zařízení osobám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, které svým chováním, vzezřením nebo vystupováním neodpovídají běžným zásadám a standardům ubytovacího zařízení, dále pak osobám, které: a) </w:t>
      </w:r>
      <w:r w:rsidR="00170DC3" w:rsidRPr="002B3C32">
        <w:rPr>
          <w:rStyle w:val="normaltextrun"/>
          <w:rFonts w:asciiTheme="minorHAnsi" w:hAnsiTheme="minorHAnsi" w:cstheme="minorHAnsi"/>
          <w:sz w:val="20"/>
          <w:szCs w:val="20"/>
        </w:rPr>
        <w:t>se dopustily jednání, kterým nad obvyklou míru obtěžovaly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 jiné hosty zařízení nebo budili jejich pohoršení, b) aplikují či distribuují psychotropní látky, c) jsou pod vlivem alkoholu či omamných látek, d) provádí podomní prodej či jiné formy </w:t>
      </w:r>
      <w:r w:rsidR="00C75B76" w:rsidRPr="002B3C32">
        <w:rPr>
          <w:rStyle w:val="normaltextrun"/>
          <w:rFonts w:asciiTheme="minorHAnsi" w:hAnsiTheme="minorHAnsi" w:cstheme="minorHAnsi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>otelem neschváleného podnikání, e) obtěžují jiné osoby posunky, přímými sexuální návrhy či jiným obdobným chováním za účelem nabízení sexuálních služeb, f) využívají společných hotelových prostor k jiným účelům, než ke kterým jsou určeny.</w:t>
      </w:r>
      <w:r w:rsidRPr="002B3C32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="00BF5C44" w:rsidRPr="00BF5C44">
        <w:rPr>
          <w:rStyle w:val="eop"/>
          <w:rFonts w:asciiTheme="minorHAnsi" w:hAnsiTheme="minorHAnsi" w:cstheme="minorHAnsi"/>
          <w:sz w:val="20"/>
          <w:szCs w:val="20"/>
        </w:rPr>
        <w:t xml:space="preserve"> </w:t>
      </w:r>
    </w:p>
    <w:p w14:paraId="175F1D0D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Ve všech prostorech </w:t>
      </w:r>
      <w:r w:rsidR="00C75B76" w:rsidRPr="002B3C32">
        <w:rPr>
          <w:rStyle w:val="normaltextrun"/>
          <w:rFonts w:asciiTheme="minorHAnsi" w:hAnsiTheme="minorHAnsi" w:cstheme="minorHAnsi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otelu je zakázáno rozdělávání otevřeného ohně, </w:t>
      </w:r>
      <w:r w:rsidR="00170DC3" w:rsidRPr="002B3C32">
        <w:rPr>
          <w:rStyle w:val="normaltextrun"/>
          <w:rFonts w:asciiTheme="minorHAnsi" w:hAnsiTheme="minorHAnsi" w:cstheme="minorHAnsi"/>
          <w:sz w:val="20"/>
          <w:szCs w:val="20"/>
        </w:rPr>
        <w:t>včetně zapalování svíček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Pr="002B3C3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F296418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Za škody způsobené na majetku </w:t>
      </w:r>
      <w:r w:rsidR="00C75B76" w:rsidRPr="002B3C32">
        <w:rPr>
          <w:rStyle w:val="normaltextrun"/>
          <w:rFonts w:asciiTheme="minorHAnsi" w:hAnsiTheme="minorHAnsi" w:cstheme="minorHAnsi"/>
          <w:sz w:val="20"/>
          <w:szCs w:val="20"/>
        </w:rPr>
        <w:t>U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>bytovatele odpovídá host podle platných předpisů. Host hradí jím způsobenou škodu, pokud neprokáže, že ji nezavinil. Tento nárok se vztahuje i na škodu, která je zjištěna po odjezdu hosta.</w:t>
      </w:r>
      <w:r w:rsidRPr="002B3C3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50B49F1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>Pokud má host během ubytování nějaká opodstatněná přání nebo stížnosti, může oslovit personál ubytovacího zařízení, který vyvine maximální snahu vyhovět hostovu přání. </w:t>
      </w:r>
      <w:r w:rsidRPr="002B3C3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43A3483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Host je povinen řídit se tímto ubytovacím řádem a všemi pokyny, které upravují provoz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otelu a chování hostů, zejména v souvislosti s bezpečností hostů, </w:t>
      </w:r>
      <w:r w:rsidR="00532B5F"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>hygienickými</w:t>
      </w:r>
      <w:r w:rsidRPr="002B3C32">
        <w:rPr>
          <w:rStyle w:val="normaltextrun"/>
          <w:rFonts w:asciiTheme="minorHAnsi" w:hAnsiTheme="minorHAnsi" w:cstheme="minorHAnsi"/>
          <w:color w:val="231F20"/>
          <w:sz w:val="20"/>
          <w:szCs w:val="20"/>
        </w:rPr>
        <w:t xml:space="preserve"> a bezpečnostními předpisy.</w:t>
      </w:r>
      <w:r w:rsidRPr="002B3C32">
        <w:rPr>
          <w:rStyle w:val="eop"/>
          <w:rFonts w:asciiTheme="minorHAnsi" w:hAnsiTheme="minorHAnsi" w:cstheme="minorHAnsi"/>
          <w:color w:val="231F20"/>
          <w:sz w:val="20"/>
          <w:szCs w:val="20"/>
        </w:rPr>
        <w:t> </w:t>
      </w:r>
    </w:p>
    <w:p w14:paraId="6066703C" w14:textId="77777777" w:rsidR="002B3C32" w:rsidRPr="002B3C32" w:rsidRDefault="00324F7B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Host je povinen dodržovat ustanovení tohoto ubytovacího řádu, s kterým jsou povinni se seznámit. V případě, že je poruší, má </w:t>
      </w:r>
      <w:r w:rsidR="00C75B76" w:rsidRPr="002B3C32">
        <w:rPr>
          <w:rStyle w:val="normaltextrun"/>
          <w:rFonts w:asciiTheme="minorHAnsi" w:hAnsiTheme="minorHAnsi" w:cstheme="minorHAnsi"/>
          <w:sz w:val="20"/>
          <w:szCs w:val="20"/>
        </w:rPr>
        <w:t>U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 xml:space="preserve">bytovatel právo od smlouvy o poskytnutí služeb zařízení odstoupit před uplynutím dohodnuté doby. Při zjištění porušení ustanovení ubytovacího řádu je </w:t>
      </w:r>
      <w:r w:rsidR="00C75B76" w:rsidRPr="002B3C32">
        <w:rPr>
          <w:rStyle w:val="normaltextrun"/>
          <w:rFonts w:asciiTheme="minorHAnsi" w:hAnsiTheme="minorHAnsi" w:cstheme="minorHAnsi"/>
          <w:sz w:val="20"/>
          <w:szCs w:val="20"/>
        </w:rPr>
        <w:t>U</w:t>
      </w:r>
      <w:r w:rsidRPr="002B3C32">
        <w:rPr>
          <w:rStyle w:val="normaltextrun"/>
          <w:rFonts w:asciiTheme="minorHAnsi" w:hAnsiTheme="minorHAnsi" w:cstheme="minorHAnsi"/>
          <w:sz w:val="20"/>
          <w:szCs w:val="20"/>
        </w:rPr>
        <w:t>bytovatel oprávněn přijmout veškerá nutná opatření, potřebná k zamezení porušování ubytovacího řádu, a to dle povahy porušení i v součinnosti s bezpečnostní službou ubytovacího zařízení, případně Policií ČR.</w:t>
      </w:r>
      <w:r w:rsidRPr="002B3C3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21A863E" w14:textId="3B1CF16B" w:rsidR="00C66E47" w:rsidRPr="002B3C32" w:rsidRDefault="00170DC3" w:rsidP="002B3C32">
      <w:pPr>
        <w:pStyle w:val="paragraph"/>
        <w:numPr>
          <w:ilvl w:val="0"/>
          <w:numId w:val="7"/>
        </w:numPr>
        <w:tabs>
          <w:tab w:val="clear" w:pos="720"/>
          <w:tab w:val="num" w:pos="870"/>
        </w:tabs>
        <w:spacing w:before="0" w:beforeAutospacing="0" w:after="0" w:afterAutospacing="0"/>
        <w:ind w:left="870" w:hanging="44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B3C32">
        <w:rPr>
          <w:rFonts w:asciiTheme="minorHAnsi" w:hAnsiTheme="minorHAnsi" w:cstheme="minorHAnsi"/>
          <w:b/>
          <w:bCs/>
          <w:sz w:val="20"/>
          <w:szCs w:val="20"/>
        </w:rPr>
        <w:t xml:space="preserve">V případě porušení ubytovacího řádu si vedení </w:t>
      </w:r>
      <w:r w:rsidR="00C75B76" w:rsidRPr="002B3C32">
        <w:rPr>
          <w:rFonts w:asciiTheme="minorHAnsi" w:hAnsiTheme="minorHAnsi" w:cstheme="minorHAnsi"/>
          <w:b/>
          <w:bCs/>
          <w:sz w:val="20"/>
          <w:szCs w:val="20"/>
        </w:rPr>
        <w:t>H</w:t>
      </w:r>
      <w:r w:rsidRPr="002B3C32">
        <w:rPr>
          <w:rFonts w:asciiTheme="minorHAnsi" w:hAnsiTheme="minorHAnsi" w:cstheme="minorHAnsi"/>
          <w:b/>
          <w:bCs/>
          <w:sz w:val="20"/>
          <w:szCs w:val="20"/>
        </w:rPr>
        <w:t>otelu vyhrazuje právo</w:t>
      </w:r>
      <w:r w:rsidR="00C66E47" w:rsidRPr="002B3C32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90E6E21" w14:textId="250710A0" w:rsidR="00C66E47" w:rsidRPr="002B3C32" w:rsidRDefault="00C66E47" w:rsidP="00F55F52">
      <w:pPr>
        <w:pStyle w:val="Odstavecseseznamem"/>
        <w:numPr>
          <w:ilvl w:val="0"/>
          <w:numId w:val="22"/>
        </w:numPr>
        <w:spacing w:line="276" w:lineRule="auto"/>
        <w:ind w:firstLine="131"/>
        <w:rPr>
          <w:rFonts w:cstheme="minorHAnsi"/>
          <w:sz w:val="20"/>
          <w:szCs w:val="20"/>
        </w:rPr>
      </w:pPr>
      <w:r w:rsidRPr="002B3C32">
        <w:rPr>
          <w:rFonts w:cstheme="minorHAnsi"/>
          <w:sz w:val="20"/>
          <w:szCs w:val="20"/>
        </w:rPr>
        <w:t xml:space="preserve">Zadržet celou </w:t>
      </w:r>
      <w:r w:rsidR="00196356" w:rsidRPr="002B3C32">
        <w:rPr>
          <w:rFonts w:cstheme="minorHAnsi"/>
          <w:sz w:val="20"/>
          <w:szCs w:val="20"/>
        </w:rPr>
        <w:t xml:space="preserve">zálohu </w:t>
      </w:r>
      <w:r w:rsidRPr="002B3C32">
        <w:rPr>
          <w:rFonts w:cstheme="minorHAnsi"/>
          <w:sz w:val="20"/>
          <w:szCs w:val="20"/>
        </w:rPr>
        <w:t>bez náhrady</w:t>
      </w:r>
    </w:p>
    <w:p w14:paraId="77CAC68B" w14:textId="77777777" w:rsidR="00C66E47" w:rsidRPr="002B3C32" w:rsidRDefault="00C66E47" w:rsidP="00F55F52">
      <w:pPr>
        <w:pStyle w:val="Odstavecseseznamem"/>
        <w:numPr>
          <w:ilvl w:val="0"/>
          <w:numId w:val="22"/>
        </w:numPr>
        <w:spacing w:line="276" w:lineRule="auto"/>
        <w:ind w:firstLine="131"/>
        <w:rPr>
          <w:rFonts w:cstheme="minorHAnsi"/>
          <w:sz w:val="20"/>
          <w:szCs w:val="20"/>
        </w:rPr>
      </w:pPr>
      <w:r w:rsidRPr="002B3C32">
        <w:rPr>
          <w:rFonts w:cstheme="minorHAnsi"/>
          <w:sz w:val="20"/>
          <w:szCs w:val="20"/>
        </w:rPr>
        <w:t>Účtovat pokutu za každé porušení pravidla od 100 EUR</w:t>
      </w:r>
    </w:p>
    <w:p w14:paraId="1E1A2C99" w14:textId="3F6A76D4" w:rsidR="00C66E47" w:rsidRPr="002B3C32" w:rsidRDefault="00C66E47" w:rsidP="00F55F52">
      <w:pPr>
        <w:pStyle w:val="Odstavecseseznamem"/>
        <w:numPr>
          <w:ilvl w:val="0"/>
          <w:numId w:val="22"/>
        </w:numPr>
        <w:spacing w:line="276" w:lineRule="auto"/>
        <w:ind w:firstLine="131"/>
        <w:rPr>
          <w:rFonts w:cstheme="minorHAnsi"/>
          <w:sz w:val="20"/>
          <w:szCs w:val="20"/>
        </w:rPr>
      </w:pPr>
      <w:r w:rsidRPr="002B3C32">
        <w:rPr>
          <w:rFonts w:cstheme="minorHAnsi"/>
          <w:sz w:val="20"/>
          <w:szCs w:val="20"/>
        </w:rPr>
        <w:t xml:space="preserve">Při opakovaném porušení pravidla si </w:t>
      </w:r>
      <w:r w:rsidR="00C75B76" w:rsidRPr="002B3C32">
        <w:rPr>
          <w:rFonts w:cstheme="minorHAnsi"/>
          <w:sz w:val="20"/>
          <w:szCs w:val="20"/>
        </w:rPr>
        <w:t>H</w:t>
      </w:r>
      <w:r w:rsidRPr="002B3C32">
        <w:rPr>
          <w:rFonts w:cstheme="minorHAnsi"/>
          <w:sz w:val="20"/>
          <w:szCs w:val="20"/>
        </w:rPr>
        <w:t xml:space="preserve">otel vyhrazuje právo zadržet celou část </w:t>
      </w:r>
      <w:r w:rsidR="00196356" w:rsidRPr="002B3C32">
        <w:rPr>
          <w:rFonts w:cstheme="minorHAnsi"/>
          <w:sz w:val="20"/>
          <w:szCs w:val="20"/>
        </w:rPr>
        <w:t>zálohy</w:t>
      </w:r>
      <w:r w:rsidRPr="002B3C32">
        <w:rPr>
          <w:rFonts w:cstheme="minorHAnsi"/>
          <w:sz w:val="20"/>
          <w:szCs w:val="20"/>
        </w:rPr>
        <w:t xml:space="preserve"> bez náhrady</w:t>
      </w:r>
    </w:p>
    <w:p w14:paraId="657FA917" w14:textId="77777777" w:rsidR="00C66E47" w:rsidRPr="002B3C32" w:rsidRDefault="00C66E47" w:rsidP="00F55F52">
      <w:pPr>
        <w:pStyle w:val="Odstavecseseznamem"/>
        <w:numPr>
          <w:ilvl w:val="0"/>
          <w:numId w:val="22"/>
        </w:numPr>
        <w:spacing w:line="276" w:lineRule="auto"/>
        <w:ind w:firstLine="131"/>
        <w:rPr>
          <w:rFonts w:cstheme="minorHAnsi"/>
          <w:sz w:val="20"/>
          <w:szCs w:val="20"/>
        </w:rPr>
      </w:pPr>
      <w:r w:rsidRPr="002B3C32">
        <w:rPr>
          <w:rFonts w:cstheme="minorHAnsi"/>
          <w:sz w:val="20"/>
          <w:szCs w:val="20"/>
        </w:rPr>
        <w:t>Kontaktovat Policii ČR</w:t>
      </w:r>
    </w:p>
    <w:p w14:paraId="0C5992E2" w14:textId="441717A4" w:rsidR="00C66E47" w:rsidRPr="002B3C32" w:rsidRDefault="00C66E47" w:rsidP="00F55F52">
      <w:pPr>
        <w:pStyle w:val="Odstavecseseznamem"/>
        <w:numPr>
          <w:ilvl w:val="0"/>
          <w:numId w:val="22"/>
        </w:numPr>
        <w:spacing w:line="276" w:lineRule="auto"/>
        <w:ind w:firstLine="131"/>
        <w:rPr>
          <w:rFonts w:cstheme="minorHAnsi"/>
          <w:sz w:val="20"/>
          <w:szCs w:val="20"/>
        </w:rPr>
      </w:pPr>
      <w:r w:rsidRPr="002B3C32">
        <w:rPr>
          <w:rFonts w:cstheme="minorHAnsi"/>
          <w:sz w:val="20"/>
          <w:szCs w:val="20"/>
        </w:rPr>
        <w:t>Ukončit pobyt okamžitě bez náhrady</w:t>
      </w:r>
    </w:p>
    <w:p w14:paraId="0E273E9F" w14:textId="77777777" w:rsidR="002B3C32" w:rsidRPr="002B3C32" w:rsidRDefault="00C66E47" w:rsidP="002B3C32">
      <w:pPr>
        <w:pStyle w:val="Odstavecseseznamem"/>
        <w:numPr>
          <w:ilvl w:val="0"/>
          <w:numId w:val="22"/>
        </w:numPr>
        <w:spacing w:line="276" w:lineRule="auto"/>
        <w:ind w:firstLine="131"/>
        <w:rPr>
          <w:rFonts w:cstheme="minorHAnsi"/>
          <w:sz w:val="20"/>
          <w:szCs w:val="20"/>
        </w:rPr>
      </w:pPr>
      <w:r w:rsidRPr="002B3C32">
        <w:rPr>
          <w:rFonts w:cstheme="minorHAnsi"/>
          <w:sz w:val="20"/>
          <w:szCs w:val="20"/>
        </w:rPr>
        <w:t>Zapsat hosty na interní seznam nevhodných hostů napříč evropskou hotelovou sítí</w:t>
      </w:r>
    </w:p>
    <w:p w14:paraId="07C04766" w14:textId="77777777" w:rsidR="002B3C32" w:rsidRPr="002B3C32" w:rsidRDefault="00324F7B" w:rsidP="002B3C32">
      <w:pPr>
        <w:pStyle w:val="Odstavecseseznamem"/>
        <w:numPr>
          <w:ilvl w:val="0"/>
          <w:numId w:val="7"/>
        </w:numPr>
        <w:spacing w:line="276" w:lineRule="auto"/>
        <w:rPr>
          <w:rStyle w:val="eop"/>
          <w:rFonts w:cstheme="minorHAnsi"/>
          <w:sz w:val="20"/>
          <w:szCs w:val="20"/>
        </w:rPr>
      </w:pPr>
      <w:r w:rsidRPr="002B3C32">
        <w:rPr>
          <w:rStyle w:val="normaltextrun"/>
          <w:rFonts w:cstheme="minorHAnsi"/>
          <w:color w:val="231F20"/>
          <w:sz w:val="20"/>
          <w:szCs w:val="20"/>
        </w:rPr>
        <w:t xml:space="preserve">Právní vztahy i další záležitosti výslovně neupravené tímto ubytovacím řádem se řídí platnými právními předpisy České republiky a dále dalšími vnitřními předpisy </w:t>
      </w:r>
      <w:r w:rsidR="00C75B76" w:rsidRPr="002B3C32">
        <w:rPr>
          <w:rStyle w:val="normaltextrun"/>
          <w:rFonts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cstheme="minorHAnsi"/>
          <w:color w:val="231F20"/>
          <w:sz w:val="20"/>
          <w:szCs w:val="20"/>
        </w:rPr>
        <w:t>otelu.</w:t>
      </w:r>
      <w:r w:rsidRPr="002B3C32">
        <w:rPr>
          <w:rStyle w:val="eop"/>
          <w:rFonts w:cstheme="minorHAnsi"/>
          <w:color w:val="231F20"/>
          <w:sz w:val="20"/>
          <w:szCs w:val="20"/>
        </w:rPr>
        <w:t> </w:t>
      </w:r>
    </w:p>
    <w:p w14:paraId="7EC6F7FC" w14:textId="77777777" w:rsidR="002B3C32" w:rsidRPr="002B3C32" w:rsidRDefault="003D0E4C" w:rsidP="002B3C32">
      <w:pPr>
        <w:pStyle w:val="Odstavecseseznamem"/>
        <w:numPr>
          <w:ilvl w:val="0"/>
          <w:numId w:val="7"/>
        </w:numPr>
        <w:spacing w:line="276" w:lineRule="auto"/>
        <w:rPr>
          <w:rStyle w:val="eop"/>
          <w:rFonts w:cstheme="minorHAnsi"/>
          <w:sz w:val="20"/>
          <w:szCs w:val="20"/>
        </w:rPr>
      </w:pPr>
      <w:r w:rsidRPr="002B3C32">
        <w:rPr>
          <w:rStyle w:val="normaltextrun"/>
          <w:rFonts w:cstheme="minorHAnsi"/>
          <w:color w:val="231F20"/>
          <w:sz w:val="20"/>
          <w:szCs w:val="20"/>
        </w:rPr>
        <w:t xml:space="preserve">Ubytováním v </w:t>
      </w:r>
      <w:r w:rsidR="00C75B76" w:rsidRPr="002B3C32">
        <w:rPr>
          <w:rStyle w:val="normaltextrun"/>
          <w:rFonts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cstheme="minorHAnsi"/>
          <w:color w:val="231F20"/>
          <w:sz w:val="20"/>
          <w:szCs w:val="20"/>
        </w:rPr>
        <w:t xml:space="preserve">otelu host potvrzuje, že se seznámil s tímto ubytovacím řádem. Host je povinen dodržovat ustanovení tohoto ubytovacího řádu a souhlasí s plněním povinností podle tohoto řádu. V případě, že jej poruší, má </w:t>
      </w:r>
      <w:r w:rsidR="00C75B76" w:rsidRPr="002B3C32">
        <w:rPr>
          <w:rStyle w:val="normaltextrun"/>
          <w:rFonts w:cstheme="minorHAnsi"/>
          <w:color w:val="231F20"/>
          <w:sz w:val="20"/>
          <w:szCs w:val="20"/>
        </w:rPr>
        <w:t>H</w:t>
      </w:r>
      <w:r w:rsidRPr="002B3C32">
        <w:rPr>
          <w:rStyle w:val="normaltextrun"/>
          <w:rFonts w:cstheme="minorHAnsi"/>
          <w:color w:val="231F20"/>
          <w:sz w:val="20"/>
          <w:szCs w:val="20"/>
        </w:rPr>
        <w:t>otel právo od sjednaného ubytování odstoupit před uplynutím dohodnuté doby, aniž by mu z toho vypl</w:t>
      </w:r>
      <w:r w:rsidR="00170DC3" w:rsidRPr="002B3C32">
        <w:rPr>
          <w:rStyle w:val="normaltextrun"/>
          <w:rFonts w:cstheme="minorHAnsi"/>
          <w:color w:val="231F20"/>
          <w:sz w:val="20"/>
          <w:szCs w:val="20"/>
        </w:rPr>
        <w:t>ý</w:t>
      </w:r>
      <w:r w:rsidRPr="002B3C32">
        <w:rPr>
          <w:rStyle w:val="normaltextrun"/>
          <w:rFonts w:cstheme="minorHAnsi"/>
          <w:color w:val="231F20"/>
          <w:sz w:val="20"/>
          <w:szCs w:val="20"/>
        </w:rPr>
        <w:t>vala povinnost uhradit hostu případné škody.</w:t>
      </w:r>
      <w:r w:rsidRPr="002B3C32">
        <w:rPr>
          <w:rStyle w:val="eop"/>
          <w:rFonts w:cstheme="minorHAnsi"/>
          <w:color w:val="231F20"/>
          <w:sz w:val="20"/>
          <w:szCs w:val="20"/>
        </w:rPr>
        <w:t> </w:t>
      </w:r>
    </w:p>
    <w:p w14:paraId="4D7EFDDB" w14:textId="11735C00" w:rsidR="00324F7B" w:rsidRPr="002B3C32" w:rsidRDefault="002B3C32" w:rsidP="002B3C32">
      <w:pPr>
        <w:pStyle w:val="Odstavecseseznamem"/>
        <w:numPr>
          <w:ilvl w:val="0"/>
          <w:numId w:val="7"/>
        </w:numPr>
        <w:spacing w:line="276" w:lineRule="auto"/>
        <w:rPr>
          <w:rStyle w:val="eop"/>
          <w:rFonts w:cstheme="minorHAnsi"/>
          <w:sz w:val="20"/>
          <w:szCs w:val="20"/>
        </w:rPr>
      </w:pPr>
      <w:r w:rsidRPr="002B3C32">
        <w:rPr>
          <w:rStyle w:val="normaltextrun"/>
          <w:rFonts w:cstheme="minorHAnsi"/>
          <w:color w:val="231F20"/>
          <w:sz w:val="20"/>
          <w:szCs w:val="20"/>
        </w:rPr>
        <w:t xml:space="preserve"> </w:t>
      </w:r>
      <w:r w:rsidR="00324F7B" w:rsidRPr="002B3C32">
        <w:rPr>
          <w:rStyle w:val="normaltextrun"/>
          <w:rFonts w:cstheme="minorHAnsi"/>
          <w:color w:val="231F20"/>
          <w:sz w:val="20"/>
          <w:szCs w:val="20"/>
        </w:rPr>
        <w:t xml:space="preserve">Vedení </w:t>
      </w:r>
      <w:r w:rsidR="00C75B76" w:rsidRPr="002B3C32">
        <w:rPr>
          <w:rStyle w:val="normaltextrun"/>
          <w:rFonts w:cstheme="minorHAnsi"/>
          <w:color w:val="231F20"/>
          <w:sz w:val="20"/>
          <w:szCs w:val="20"/>
        </w:rPr>
        <w:t>H</w:t>
      </w:r>
      <w:r w:rsidR="00324F7B" w:rsidRPr="002B3C32">
        <w:rPr>
          <w:rStyle w:val="normaltextrun"/>
          <w:rFonts w:cstheme="minorHAnsi"/>
          <w:color w:val="231F20"/>
          <w:sz w:val="20"/>
          <w:szCs w:val="20"/>
        </w:rPr>
        <w:t>otelu uvítá všechny návrhy hostů na zlepšení hotelového provozu.</w:t>
      </w:r>
      <w:r w:rsidR="00324F7B" w:rsidRPr="002B3C32">
        <w:rPr>
          <w:rStyle w:val="eop"/>
          <w:rFonts w:cstheme="minorHAnsi"/>
          <w:color w:val="231F20"/>
          <w:sz w:val="20"/>
          <w:szCs w:val="20"/>
        </w:rPr>
        <w:t> </w:t>
      </w:r>
    </w:p>
    <w:p w14:paraId="18F65ACB" w14:textId="1227EA3C" w:rsidR="00324F7B" w:rsidRPr="00717FAB" w:rsidRDefault="00324F7B" w:rsidP="00324F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231F20"/>
          <w:sz w:val="20"/>
          <w:szCs w:val="20"/>
        </w:rPr>
      </w:pPr>
    </w:p>
    <w:p w14:paraId="1D94920F" w14:textId="5D039206" w:rsidR="00324F7B" w:rsidRPr="00717FAB" w:rsidRDefault="00324F7B" w:rsidP="00324F7B">
      <w:pPr>
        <w:pStyle w:val="Odstavecseseznamem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18"/>
          <w:szCs w:val="18"/>
          <w:lang w:eastAsia="cs-CZ"/>
        </w:rPr>
      </w:pPr>
      <w:r w:rsidRPr="00717FAB">
        <w:rPr>
          <w:rFonts w:eastAsia="Times New Roman" w:cstheme="minorHAnsi"/>
          <w:b/>
          <w:bCs/>
          <w:color w:val="231F20"/>
          <w:sz w:val="20"/>
          <w:szCs w:val="20"/>
          <w:lang w:eastAsia="cs-CZ"/>
        </w:rPr>
        <w:t>Přejeme Vám příjemný pobyt. </w:t>
      </w:r>
    </w:p>
    <w:p w14:paraId="67B41A39" w14:textId="77777777" w:rsidR="00324F7B" w:rsidRPr="00717FAB" w:rsidRDefault="00324F7B" w:rsidP="00324F7B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717FAB">
        <w:rPr>
          <w:rFonts w:eastAsia="Times New Roman" w:cstheme="minorHAnsi"/>
          <w:sz w:val="20"/>
          <w:szCs w:val="20"/>
          <w:lang w:eastAsia="cs-CZ"/>
        </w:rPr>
        <w:t> </w:t>
      </w:r>
    </w:p>
    <w:p w14:paraId="0A8B9F03" w14:textId="77777777" w:rsidR="00324F7B" w:rsidRPr="00717FAB" w:rsidRDefault="00324F7B" w:rsidP="00324F7B">
      <w:pPr>
        <w:pStyle w:val="Odstavecseseznamem"/>
        <w:spacing w:after="0" w:line="240" w:lineRule="auto"/>
        <w:jc w:val="both"/>
        <w:textAlignment w:val="baseline"/>
        <w:rPr>
          <w:rFonts w:eastAsia="Times New Roman" w:cstheme="minorHAnsi"/>
          <w:color w:val="231F20"/>
          <w:sz w:val="20"/>
          <w:szCs w:val="20"/>
          <w:lang w:eastAsia="cs-CZ"/>
        </w:rPr>
      </w:pPr>
      <w:r w:rsidRPr="00717FAB">
        <w:rPr>
          <w:rFonts w:eastAsia="Times New Roman" w:cstheme="minorHAnsi"/>
          <w:color w:val="231F20"/>
          <w:sz w:val="20"/>
          <w:szCs w:val="20"/>
          <w:lang w:eastAsia="cs-CZ"/>
        </w:rPr>
        <w:t xml:space="preserve">Tento ubytovací řád nabývá účinnosti dne 1.1.2025 </w:t>
      </w:r>
    </w:p>
    <w:p w14:paraId="035EDAB5" w14:textId="2458D523" w:rsidR="00324F7B" w:rsidRPr="00717FAB" w:rsidRDefault="00324F7B" w:rsidP="00324F7B">
      <w:pPr>
        <w:pStyle w:val="Odstavecseseznamem"/>
        <w:spacing w:after="0" w:line="240" w:lineRule="auto"/>
        <w:jc w:val="both"/>
        <w:textAlignment w:val="baseline"/>
        <w:rPr>
          <w:rFonts w:eastAsia="Times New Roman" w:cstheme="minorHAnsi"/>
          <w:color w:val="231F20"/>
          <w:sz w:val="20"/>
          <w:szCs w:val="20"/>
          <w:lang w:eastAsia="cs-CZ"/>
        </w:rPr>
      </w:pPr>
      <w:r w:rsidRPr="00717FAB">
        <w:rPr>
          <w:rFonts w:eastAsia="Times New Roman" w:cstheme="minorHAnsi"/>
          <w:color w:val="231F20"/>
          <w:sz w:val="20"/>
          <w:szCs w:val="20"/>
          <w:lang w:eastAsia="cs-CZ"/>
        </w:rPr>
        <w:t xml:space="preserve">Bohdan </w:t>
      </w:r>
      <w:proofErr w:type="spellStart"/>
      <w:r w:rsidRPr="00717FAB">
        <w:rPr>
          <w:rFonts w:eastAsia="Times New Roman" w:cstheme="minorHAnsi"/>
          <w:color w:val="231F20"/>
          <w:sz w:val="20"/>
          <w:szCs w:val="20"/>
          <w:lang w:eastAsia="cs-CZ"/>
        </w:rPr>
        <w:t>Hrynažuk</w:t>
      </w:r>
      <w:proofErr w:type="spellEnd"/>
      <w:r w:rsidRPr="00717FAB">
        <w:rPr>
          <w:rFonts w:eastAsia="Times New Roman" w:cstheme="minorHAnsi"/>
          <w:color w:val="231F20"/>
          <w:sz w:val="20"/>
          <w:szCs w:val="20"/>
          <w:lang w:eastAsia="cs-CZ"/>
        </w:rPr>
        <w:t xml:space="preserve"> / ředitel hotelu </w:t>
      </w:r>
    </w:p>
    <w:p w14:paraId="048801AD" w14:textId="29D9D708" w:rsidR="00324F7B" w:rsidRPr="00196356" w:rsidRDefault="00324F7B" w:rsidP="0019635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cs-CZ"/>
        </w:rPr>
      </w:pPr>
    </w:p>
    <w:p w14:paraId="13DC239B" w14:textId="77777777" w:rsidR="00324F7B" w:rsidRPr="00717FAB" w:rsidRDefault="00324F7B" w:rsidP="00DF0CF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717FAB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717FAB">
        <w:rPr>
          <w:rFonts w:asciiTheme="minorHAnsi" w:hAnsiTheme="minorHAnsi" w:cstheme="minorHAnsi"/>
          <w:b/>
          <w:bCs/>
          <w:color w:val="231F20"/>
          <w:sz w:val="18"/>
          <w:szCs w:val="18"/>
        </w:rPr>
        <w:t>Ochrana spotřebitele: </w:t>
      </w:r>
    </w:p>
    <w:p w14:paraId="087334EB" w14:textId="3FBDDDA2" w:rsidR="00324F7B" w:rsidRPr="00717FAB" w:rsidRDefault="00324F7B" w:rsidP="00DF0CF4">
      <w:pPr>
        <w:spacing w:after="0" w:line="240" w:lineRule="auto"/>
        <w:ind w:left="567"/>
        <w:jc w:val="both"/>
        <w:textAlignment w:val="baseline"/>
        <w:rPr>
          <w:rFonts w:eastAsia="Times New Roman" w:cstheme="minorHAnsi"/>
          <w:b/>
          <w:bCs/>
          <w:color w:val="231F20"/>
          <w:sz w:val="17"/>
          <w:szCs w:val="17"/>
          <w:lang w:eastAsia="cs-CZ"/>
        </w:rPr>
      </w:pPr>
      <w:r w:rsidRPr="00717FAB">
        <w:rPr>
          <w:rFonts w:eastAsia="Times New Roman" w:cstheme="minorHAnsi"/>
          <w:sz w:val="17"/>
          <w:szCs w:val="17"/>
          <w:lang w:eastAsia="cs-CZ"/>
        </w:rPr>
        <w:t> </w:t>
      </w:r>
      <w:r w:rsidRPr="00717FAB">
        <w:rPr>
          <w:rFonts w:eastAsia="Times New Roman" w:cstheme="minorHAnsi"/>
          <w:b/>
          <w:bCs/>
          <w:color w:val="231F20"/>
          <w:sz w:val="17"/>
          <w:szCs w:val="17"/>
          <w:lang w:eastAsia="cs-CZ"/>
        </w:rPr>
        <w:t>Poskytujeme Vám tímto před uzavřením smlouvy o ubytování veškeré informace dle ustanovení § 1811 a § 1820 zákona č. 89/2012 Sb., občanský zákoník, v platném znění (dále jen „občanský zákoník“). </w:t>
      </w:r>
    </w:p>
    <w:p w14:paraId="5857B15D" w14:textId="108454F1" w:rsidR="00324F7B" w:rsidRPr="00717FAB" w:rsidRDefault="00324F7B" w:rsidP="00DF0CF4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My Hotel Apollon, jakožto </w:t>
      </w:r>
      <w:r w:rsidR="00C75B76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bytovatel poskytuje ubytovaným hostům následující informace: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1B251CCB" w14:textId="00F02EDD" w:rsidR="00324F7B" w:rsidRPr="00717FAB" w:rsidRDefault="00324F7B" w:rsidP="00DF0CF4">
      <w:pPr>
        <w:pStyle w:val="paragraph"/>
        <w:numPr>
          <w:ilvl w:val="0"/>
          <w:numId w:val="12"/>
        </w:numPr>
        <w:spacing w:before="0" w:beforeAutospacing="0" w:after="0" w:afterAutospacing="0"/>
        <w:ind w:left="567" w:firstLine="0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Totožnost a kontaktní údaje </w:t>
      </w:r>
      <w:r w:rsidR="00C75B76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bytovatele/</w:t>
      </w:r>
      <w:r w:rsidR="00C75B76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P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rovozovatele: </w:t>
      </w:r>
      <w:proofErr w:type="spellStart"/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Fenit</w:t>
      </w:r>
      <w:proofErr w:type="spellEnd"/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, s.r.o., IČO: 04935284, se sídlem: Zelený pruh 1560/99, 140 00 Praha 4, DIČ CZ04935284, společnost zapsaná v obchodním rejstříku vedeném Městským soudem v Praze, oddíl C, vložka 25810, adresa pro doručování elektronické pošty: </w:t>
      </w:r>
      <w:hyperlink r:id="rId6" w:tgtFrame="_blank" w:history="1">
        <w:r w:rsidRPr="00717FAB">
          <w:rPr>
            <w:rStyle w:val="normaltextrun"/>
            <w:rFonts w:asciiTheme="minorHAnsi" w:hAnsiTheme="minorHAnsi" w:cstheme="minorHAnsi"/>
            <w:color w:val="0000FF"/>
            <w:sz w:val="17"/>
            <w:szCs w:val="17"/>
            <w:u w:val="single"/>
          </w:rPr>
          <w:t>reception@hotelapollon.cz,</w:t>
        </w:r>
      </w:hyperlink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 telefonní číslo: 773 371 084;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79CE6272" w14:textId="32338C17" w:rsidR="00324F7B" w:rsidRPr="00717FAB" w:rsidRDefault="00324F7B" w:rsidP="00DF0CF4">
      <w:pPr>
        <w:pStyle w:val="paragraph"/>
        <w:numPr>
          <w:ilvl w:val="0"/>
          <w:numId w:val="13"/>
        </w:numPr>
        <w:spacing w:before="0" w:beforeAutospacing="0" w:after="0" w:afterAutospacing="0"/>
        <w:ind w:left="567" w:firstLine="0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hlavní předmět podnikání </w:t>
      </w:r>
      <w:r w:rsidR="00C75B76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bytovatele: poskytování ubytovacích služeb;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7DA3B349" w14:textId="6F23FA31" w:rsidR="00324F7B" w:rsidRPr="00717FAB" w:rsidRDefault="00324F7B" w:rsidP="00DF0CF4">
      <w:pPr>
        <w:pStyle w:val="paragraph"/>
        <w:numPr>
          <w:ilvl w:val="0"/>
          <w:numId w:val="14"/>
        </w:numPr>
        <w:spacing w:before="0" w:beforeAutospacing="0" w:after="0" w:afterAutospacing="0"/>
        <w:ind w:left="567" w:firstLine="0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označení služby: </w:t>
      </w:r>
      <w:r w:rsidR="00C75B76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bytovatel obstarává pro ubytované hosty ubytování a služby související s ubytováním na základě podmínek uvedených v písemné smlouvě o ubytování;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0C21EBBD" w14:textId="77777777" w:rsidR="00324F7B" w:rsidRPr="00717FAB" w:rsidRDefault="00324F7B" w:rsidP="00DF0CF4">
      <w:pPr>
        <w:pStyle w:val="paragraph"/>
        <w:numPr>
          <w:ilvl w:val="0"/>
          <w:numId w:val="15"/>
        </w:numPr>
        <w:spacing w:before="0" w:beforeAutospacing="0" w:after="0" w:afterAutospacing="0"/>
        <w:ind w:left="567" w:firstLine="0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cena poskytované služby: celková cena za poskytnuté služby je ubytovanému sdělena před uzavřením smlouvy o ubytování. V takto stanovené ceně jsou zahrnuty veškeré daně a poplatky;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0C5D5AA6" w14:textId="426C8B46" w:rsidR="00324F7B" w:rsidRPr="00717FAB" w:rsidRDefault="00324F7B" w:rsidP="00DF0CF4">
      <w:pPr>
        <w:pStyle w:val="paragraph"/>
        <w:numPr>
          <w:ilvl w:val="0"/>
          <w:numId w:val="16"/>
        </w:numPr>
        <w:spacing w:before="0" w:beforeAutospacing="0" w:after="0" w:afterAutospacing="0"/>
        <w:ind w:left="567" w:firstLine="0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způsob platby a způsob plnění: ubytov</w:t>
      </w:r>
      <w:r w:rsidR="00170DC3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a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n</w:t>
      </w:r>
      <w:r w:rsidR="00170DC3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ý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 host poskytne veškeré platby sjednané ve smlouvě o ubytování v hotovosti nebo bezhotovostně na bankovní účet </w:t>
      </w:r>
      <w:r w:rsidR="00C75B76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bytovatele, jehož číslo a variabilní symbol </w:t>
      </w:r>
      <w:r w:rsidR="00C75B76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bytovatel ubytovaným hostům sdělí písemně;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746B537D" w14:textId="697BBCBF" w:rsidR="00324F7B" w:rsidRPr="00717FAB" w:rsidRDefault="00324F7B" w:rsidP="00DF0CF4">
      <w:pPr>
        <w:pStyle w:val="paragraph"/>
        <w:numPr>
          <w:ilvl w:val="0"/>
          <w:numId w:val="17"/>
        </w:numPr>
        <w:spacing w:before="0" w:beforeAutospacing="0" w:after="0" w:afterAutospacing="0"/>
        <w:ind w:left="567" w:firstLine="0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náklady na prostředky komunikace na dálku: náklady na prostředky komunikace na dálku určují subjekty poskytující služby prostředků komunikace na dálku a tyto náklady se neliší od základní sazby;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546EE3A9" w14:textId="2AE0E00E" w:rsidR="00324F7B" w:rsidRPr="00717FAB" w:rsidRDefault="00324F7B" w:rsidP="00DF0CF4">
      <w:pPr>
        <w:pStyle w:val="paragraph"/>
        <w:numPr>
          <w:ilvl w:val="0"/>
          <w:numId w:val="18"/>
        </w:numPr>
        <w:spacing w:before="0" w:beforeAutospacing="0" w:after="0" w:afterAutospacing="0"/>
        <w:ind w:left="567" w:firstLine="0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údaj o existenci, způsobu a podmínkách mimosoudního vyřizování stížností spotřebitelů včetně údaje, zda se lze obrátit na orgán dohledu: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3D20B0F9" w14:textId="2C30DBF2" w:rsidR="00324F7B" w:rsidRPr="00717FAB" w:rsidRDefault="00324F7B" w:rsidP="00DF0CF4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ubytov</w:t>
      </w:r>
      <w:r w:rsidR="00170DC3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a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n</w:t>
      </w:r>
      <w:r w:rsidR="00170DC3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ý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 host má právo podat návrh na mimosoudní řešení takového sporu určenému subjektu mimosoudního řešení spotřebitelských sporů, kterým je: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2A320D7C" w14:textId="0F09E626" w:rsidR="00324F7B" w:rsidRPr="00717FAB" w:rsidRDefault="00324F7B" w:rsidP="00DF0CF4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b/>
          <w:bCs/>
          <w:color w:val="231F20"/>
          <w:sz w:val="17"/>
          <w:szCs w:val="17"/>
        </w:rPr>
        <w:t xml:space="preserve">Česká obchodní inspekce, 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Ústřední inspektorát - oddělení ADR, Štěpánská 15, 120 00 Praha 2, Email: </w:t>
      </w:r>
      <w:hyperlink r:id="rId7" w:tgtFrame="_blank" w:history="1">
        <w:r w:rsidRPr="00717FAB">
          <w:rPr>
            <w:rStyle w:val="normaltextrun"/>
            <w:rFonts w:asciiTheme="minorHAnsi" w:hAnsiTheme="minorHAnsi" w:cstheme="minorHAnsi"/>
            <w:color w:val="231F20"/>
            <w:sz w:val="17"/>
            <w:szCs w:val="17"/>
          </w:rPr>
          <w:t xml:space="preserve">adr@coi.cz, </w:t>
        </w:r>
      </w:hyperlink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Web: adr.coi.cz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5D3C1D65" w14:textId="49AFEEFD" w:rsidR="00324F7B" w:rsidRPr="00717FAB" w:rsidRDefault="00324F7B" w:rsidP="00DF0CF4">
      <w:pPr>
        <w:pStyle w:val="paragraph"/>
        <w:spacing w:before="0" w:beforeAutospacing="0" w:after="0" w:afterAutospacing="0"/>
        <w:ind w:left="567" w:right="135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Česká obchodní inspekce je dozorovým orgánem vykonávajícím dohled nad ochranou spotřebitele, postupující podle zákona č. 64/1986 Sb., o České obchodní inspekci, ve znění pozdějších předpisů, a dalších právních předpisů. Internetová stránka České obchodní inspekce je </w:t>
      </w:r>
      <w:hyperlink r:id="rId8" w:tgtFrame="_blank" w:history="1">
        <w:r w:rsidRPr="00717FAB">
          <w:rPr>
            <w:rStyle w:val="normaltextrun"/>
            <w:rFonts w:asciiTheme="minorHAnsi" w:hAnsiTheme="minorHAnsi" w:cstheme="minorHAnsi"/>
            <w:color w:val="231F20"/>
            <w:sz w:val="17"/>
            <w:szCs w:val="17"/>
          </w:rPr>
          <w:t>www.coi.cz.</w:t>
        </w:r>
      </w:hyperlink>
      <w:r w:rsidRPr="00717FAB">
        <w:rPr>
          <w:rStyle w:val="eop"/>
          <w:rFonts w:asciiTheme="minorHAnsi" w:hAnsiTheme="minorHAnsi" w:cstheme="minorHAnsi"/>
          <w:sz w:val="17"/>
          <w:szCs w:val="17"/>
        </w:rPr>
        <w:t> </w:t>
      </w:r>
    </w:p>
    <w:p w14:paraId="6640933E" w14:textId="09DEAFBD" w:rsidR="00324F7B" w:rsidRPr="00717FAB" w:rsidRDefault="00324F7B" w:rsidP="00DF0CF4">
      <w:pPr>
        <w:pStyle w:val="paragraph"/>
        <w:numPr>
          <w:ilvl w:val="0"/>
          <w:numId w:val="19"/>
        </w:numPr>
        <w:spacing w:before="0" w:beforeAutospacing="0" w:after="0" w:afterAutospacing="0"/>
        <w:ind w:left="567" w:firstLine="0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v souladu s ustanovením § 1837 písmeno j) občanského zákoníku ubytovaným hostům jako spotřebitelům nevzniká právo na odstoupení od smlouvy o ubytování, pokud </w:t>
      </w:r>
      <w:r w:rsidR="00C75B76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bytovatel poskytuje plnění v určeném termínu.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565D8C69" w14:textId="207BC993" w:rsidR="00324F7B" w:rsidRPr="00717FAB" w:rsidRDefault="00324F7B" w:rsidP="00DF0CF4">
      <w:pPr>
        <w:pStyle w:val="paragraph"/>
        <w:numPr>
          <w:ilvl w:val="0"/>
          <w:numId w:val="20"/>
        </w:numPr>
        <w:spacing w:before="0" w:beforeAutospacing="0" w:after="0" w:afterAutospacing="0"/>
        <w:ind w:left="567" w:firstLine="0"/>
        <w:jc w:val="both"/>
        <w:textAlignment w:val="baseline"/>
        <w:rPr>
          <w:rFonts w:asciiTheme="minorHAnsi" w:hAnsiTheme="minorHAnsi" w:cstheme="minorHAnsi"/>
          <w:sz w:val="17"/>
          <w:szCs w:val="17"/>
        </w:rPr>
      </w:pP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označení členského státu nebo členských států Evropské unie, jejichž právními předpisy se bude řídit vztah mezi ubytovaným hostem a </w:t>
      </w:r>
      <w:r w:rsidR="00C75B76"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</w:t>
      </w:r>
      <w:r w:rsidRPr="00717FAB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bytovatelem založený smlouvou o ubytování: Česká republika;</w:t>
      </w:r>
      <w:r w:rsidRPr="00717FAB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p w14:paraId="4A91458C" w14:textId="2B74188A" w:rsidR="00324F7B" w:rsidRPr="002B3C32" w:rsidRDefault="00324F7B" w:rsidP="00360E6B">
      <w:pPr>
        <w:pStyle w:val="paragraph"/>
        <w:numPr>
          <w:ilvl w:val="0"/>
          <w:numId w:val="21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Segoe UI" w:hAnsi="Segoe UI" w:cs="Segoe UI"/>
          <w:sz w:val="17"/>
          <w:szCs w:val="17"/>
        </w:rPr>
      </w:pPr>
      <w:r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údaj o jazyku, ve kterém bude ubytov</w:t>
      </w:r>
      <w:r w:rsidR="00170DC3"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a</w:t>
      </w:r>
      <w:r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n</w:t>
      </w:r>
      <w:r w:rsidR="00170DC3"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ý</w:t>
      </w:r>
      <w:r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 host s </w:t>
      </w:r>
      <w:r w:rsidR="00C75B76"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</w:t>
      </w:r>
      <w:r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bytovatelem jednat za trvání smlouvy o ubytování a ve kterém poskytne ubytov</w:t>
      </w:r>
      <w:r w:rsidR="00170DC3"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a</w:t>
      </w:r>
      <w:r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n</w:t>
      </w:r>
      <w:r w:rsidR="00170DC3"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é</w:t>
      </w:r>
      <w:r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m</w:t>
      </w:r>
      <w:r w:rsidR="00170DC3"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</w:t>
      </w:r>
      <w:r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 host</w:t>
      </w:r>
      <w:r w:rsidR="00170DC3"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>u</w:t>
      </w:r>
      <w:r w:rsidRPr="002B3C32">
        <w:rPr>
          <w:rStyle w:val="normaltextrun"/>
          <w:rFonts w:asciiTheme="minorHAnsi" w:hAnsiTheme="minorHAnsi" w:cstheme="minorHAnsi"/>
          <w:color w:val="231F20"/>
          <w:sz w:val="17"/>
          <w:szCs w:val="17"/>
        </w:rPr>
        <w:t xml:space="preserve"> smluvní podmínky a další údaje: český jazyk.</w:t>
      </w:r>
      <w:r w:rsidRPr="002B3C32">
        <w:rPr>
          <w:rStyle w:val="eop"/>
          <w:rFonts w:asciiTheme="minorHAnsi" w:hAnsiTheme="minorHAnsi" w:cstheme="minorHAnsi"/>
          <w:color w:val="231F20"/>
          <w:sz w:val="17"/>
          <w:szCs w:val="17"/>
        </w:rPr>
        <w:t> </w:t>
      </w:r>
    </w:p>
    <w:sectPr w:rsidR="00324F7B" w:rsidRPr="002B3C32" w:rsidSect="00717FAB">
      <w:pgSz w:w="11906" w:h="16838"/>
      <w:pgMar w:top="284" w:right="282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8C4"/>
    <w:multiLevelType w:val="multilevel"/>
    <w:tmpl w:val="FCE8EA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D337D87"/>
    <w:multiLevelType w:val="multilevel"/>
    <w:tmpl w:val="D6AE739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10FCE"/>
    <w:multiLevelType w:val="multilevel"/>
    <w:tmpl w:val="068C803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D05BA"/>
    <w:multiLevelType w:val="multilevel"/>
    <w:tmpl w:val="DA3E272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F49BD"/>
    <w:multiLevelType w:val="multilevel"/>
    <w:tmpl w:val="5DF859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A7252"/>
    <w:multiLevelType w:val="multilevel"/>
    <w:tmpl w:val="2794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3206D"/>
    <w:multiLevelType w:val="multilevel"/>
    <w:tmpl w:val="666A79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F51C4"/>
    <w:multiLevelType w:val="multilevel"/>
    <w:tmpl w:val="1E30A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AA472BE"/>
    <w:multiLevelType w:val="multilevel"/>
    <w:tmpl w:val="4672118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72FBD"/>
    <w:multiLevelType w:val="multilevel"/>
    <w:tmpl w:val="47AE39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F31FE"/>
    <w:multiLevelType w:val="multilevel"/>
    <w:tmpl w:val="53AA3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A2D07"/>
    <w:multiLevelType w:val="multilevel"/>
    <w:tmpl w:val="64822F6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1FB3"/>
    <w:multiLevelType w:val="multilevel"/>
    <w:tmpl w:val="96E8E1D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87B2D"/>
    <w:multiLevelType w:val="multilevel"/>
    <w:tmpl w:val="65CC9D2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94821"/>
    <w:multiLevelType w:val="multilevel"/>
    <w:tmpl w:val="99A6E24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0799D"/>
    <w:multiLevelType w:val="multilevel"/>
    <w:tmpl w:val="A10277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AE02A6"/>
    <w:multiLevelType w:val="multilevel"/>
    <w:tmpl w:val="94C616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6444F"/>
    <w:multiLevelType w:val="multilevel"/>
    <w:tmpl w:val="A4803D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3A43E7"/>
    <w:multiLevelType w:val="multilevel"/>
    <w:tmpl w:val="92320E4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A6662"/>
    <w:multiLevelType w:val="multilevel"/>
    <w:tmpl w:val="0A7A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7405BA"/>
    <w:multiLevelType w:val="multilevel"/>
    <w:tmpl w:val="DEAE4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C6120"/>
    <w:multiLevelType w:val="hybridMultilevel"/>
    <w:tmpl w:val="C674DA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7"/>
  </w:num>
  <w:num w:numId="5">
    <w:abstractNumId w:val="17"/>
  </w:num>
  <w:num w:numId="6">
    <w:abstractNumId w:val="6"/>
  </w:num>
  <w:num w:numId="7">
    <w:abstractNumId w:val="15"/>
  </w:num>
  <w:num w:numId="8">
    <w:abstractNumId w:val="4"/>
  </w:num>
  <w:num w:numId="9">
    <w:abstractNumId w:val="18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5"/>
  </w:num>
  <w:num w:numId="15">
    <w:abstractNumId w:val="16"/>
  </w:num>
  <w:num w:numId="16">
    <w:abstractNumId w:val="13"/>
  </w:num>
  <w:num w:numId="17">
    <w:abstractNumId w:val="8"/>
  </w:num>
  <w:num w:numId="18">
    <w:abstractNumId w:val="14"/>
  </w:num>
  <w:num w:numId="19">
    <w:abstractNumId w:val="11"/>
  </w:num>
  <w:num w:numId="20">
    <w:abstractNumId w:val="12"/>
  </w:num>
  <w:num w:numId="21">
    <w:abstractNumId w:val="3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7B"/>
    <w:rsid w:val="00004CB4"/>
    <w:rsid w:val="00015604"/>
    <w:rsid w:val="00170DC3"/>
    <w:rsid w:val="00196356"/>
    <w:rsid w:val="002B3C32"/>
    <w:rsid w:val="0030221D"/>
    <w:rsid w:val="00324F7B"/>
    <w:rsid w:val="00336C85"/>
    <w:rsid w:val="00344A5E"/>
    <w:rsid w:val="003D0E4C"/>
    <w:rsid w:val="004233C4"/>
    <w:rsid w:val="00532B5F"/>
    <w:rsid w:val="00536597"/>
    <w:rsid w:val="005F1631"/>
    <w:rsid w:val="00637EC9"/>
    <w:rsid w:val="0067797B"/>
    <w:rsid w:val="006D3CFF"/>
    <w:rsid w:val="00717FAB"/>
    <w:rsid w:val="008F4020"/>
    <w:rsid w:val="009942B2"/>
    <w:rsid w:val="00AF7514"/>
    <w:rsid w:val="00BF5C44"/>
    <w:rsid w:val="00C66E47"/>
    <w:rsid w:val="00C75B76"/>
    <w:rsid w:val="00CB7AC7"/>
    <w:rsid w:val="00DF0CF4"/>
    <w:rsid w:val="00E2275B"/>
    <w:rsid w:val="00E80675"/>
    <w:rsid w:val="00F32BAC"/>
    <w:rsid w:val="00F55F52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E758"/>
  <w15:chartTrackingRefBased/>
  <w15:docId w15:val="{3E5922FA-58A8-4CBB-A7A2-4C301701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2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24F7B"/>
  </w:style>
  <w:style w:type="character" w:customStyle="1" w:styleId="eop">
    <w:name w:val="eop"/>
    <w:basedOn w:val="Standardnpsmoodstavce"/>
    <w:rsid w:val="00324F7B"/>
  </w:style>
  <w:style w:type="character" w:customStyle="1" w:styleId="tabchar">
    <w:name w:val="tabchar"/>
    <w:basedOn w:val="Standardnpsmoodstavce"/>
    <w:rsid w:val="00324F7B"/>
  </w:style>
  <w:style w:type="paragraph" w:styleId="Odstavecseseznamem">
    <w:name w:val="List Paragraph"/>
    <w:basedOn w:val="Normln"/>
    <w:uiPriority w:val="34"/>
    <w:qFormat/>
    <w:rsid w:val="00324F7B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33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adr@co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coded-592c9deb-987b-4562-aa3c-9fa3d37d83e9.uri/mailto%3areception%40hotelapollon.cz%2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409289B-5B2F-415F-AF7C-6FD33274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1815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Hrynazhuk</dc:creator>
  <cp:keywords/>
  <dc:description/>
  <cp:lastModifiedBy>Bohdan Hrynazhuk</cp:lastModifiedBy>
  <cp:revision>11</cp:revision>
  <cp:lastPrinted>2025-05-16T10:25:00Z</cp:lastPrinted>
  <dcterms:created xsi:type="dcterms:W3CDTF">2025-05-12T11:29:00Z</dcterms:created>
  <dcterms:modified xsi:type="dcterms:W3CDTF">2025-05-16T11:43:00Z</dcterms:modified>
</cp:coreProperties>
</file>